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8546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3083F2B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4ACF427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2949579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05BC6AD" w14:textId="59B17934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4FD0921" wp14:editId="6FD1AB9C">
            <wp:extent cx="5734050" cy="795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B7B1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0A312BF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F4AE976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7E000EA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345CF918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93266BD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1E3DF7B" w14:textId="77777777" w:rsidR="00662B1F" w:rsidRDefault="00662B1F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432F6B0" w14:textId="4D9C57DF" w:rsidR="00E9058E" w:rsidRPr="00E9058E" w:rsidRDefault="00E9058E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14:paraId="422EA078" w14:textId="77777777" w:rsidR="00E9058E" w:rsidRPr="00E9058E" w:rsidRDefault="00E9058E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детский сад «Радуга» </w:t>
      </w:r>
      <w:proofErr w:type="spellStart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пгт</w:t>
      </w:r>
      <w:proofErr w:type="spellEnd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Клетня</w:t>
      </w:r>
      <w:proofErr w:type="spellEnd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Брянской области</w:t>
      </w: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ИНН 3243004193/ КПП 324501001</w:t>
      </w: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адрес: 242820 Брянская обл., </w:t>
      </w:r>
      <w:proofErr w:type="spellStart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пгт</w:t>
      </w:r>
      <w:proofErr w:type="spellEnd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Клетня</w:t>
      </w:r>
      <w:proofErr w:type="spellEnd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ул. Карла Маркса, д.27                            </w:t>
      </w:r>
    </w:p>
    <w:p w14:paraId="11CEEFF7" w14:textId="77777777" w:rsidR="00E9058E" w:rsidRPr="00E9058E" w:rsidRDefault="00E9058E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гл. бухгалтер 8(48338) 9-17-</w:t>
      </w:r>
      <w:proofErr w:type="gramStart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08;  заведующая</w:t>
      </w:r>
      <w:proofErr w:type="gramEnd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 8(48338) 9-11-45</w:t>
      </w:r>
    </w:p>
    <w:p w14:paraId="4AD89E70" w14:textId="77777777" w:rsidR="00E9058E" w:rsidRPr="00E9058E" w:rsidRDefault="00E9058E" w:rsidP="00E9058E">
      <w:pPr>
        <w:shd w:val="clear" w:color="auto" w:fill="FFFFFF"/>
        <w:spacing w:before="29" w:beforeAutospacing="0" w:after="29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 </w:t>
      </w: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e</w:t>
      </w: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-</w:t>
      </w: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mail</w:t>
      </w:r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: </w:t>
      </w:r>
      <w:proofErr w:type="spellStart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radugasad</w:t>
      </w:r>
      <w:proofErr w:type="spellEnd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2012@</w:t>
      </w:r>
      <w:proofErr w:type="spellStart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yandex</w:t>
      </w:r>
      <w:proofErr w:type="spellEnd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.</w:t>
      </w:r>
      <w:proofErr w:type="spellStart"/>
      <w:r w:rsidRPr="00E9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ru</w:t>
      </w:r>
      <w:proofErr w:type="spellEnd"/>
    </w:p>
    <w:p w14:paraId="73430201" w14:textId="77777777" w:rsidR="00E9058E" w:rsidRPr="00E9058E" w:rsidRDefault="00E9058E" w:rsidP="00E9058E">
      <w:pPr>
        <w:spacing w:before="0" w:beforeAutospacing="0" w:after="200" w:afterAutospacing="0" w:line="276" w:lineRule="auto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E9058E">
        <w:rPr>
          <w:rFonts w:ascii="Cambria" w:eastAsia="Times New Roman" w:hAnsi="Cambria" w:cs="Times New Roman"/>
          <w:sz w:val="24"/>
          <w:szCs w:val="24"/>
          <w:lang w:val="ru-RU"/>
        </w:rPr>
        <w:t xml:space="preserve"> </w:t>
      </w:r>
    </w:p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513C4A" w14:paraId="68998710" w14:textId="77777777"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F9164" w14:textId="6E5557A8" w:rsidR="00E9058E" w:rsidRPr="00E9058E" w:rsidRDefault="00807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  <w:r w:rsidR="00E90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513C4A" w:rsidRPr="00662B1F" w14:paraId="6695CAF3" w14:textId="77777777">
        <w:trPr>
          <w:trHeight w:val="6"/>
        </w:trPr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F0C3D" w14:textId="77777777" w:rsidR="00E97243" w:rsidRDefault="00807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E90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№07-О от 31.01.2024г  </w:t>
            </w:r>
          </w:p>
          <w:p w14:paraId="64DF5391" w14:textId="75983DD1" w:rsidR="00513C4A" w:rsidRPr="00E9058E" w:rsidRDefault="00E9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 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Е.И.Кулешова</w:t>
            </w:r>
            <w:proofErr w:type="spellEnd"/>
            <w:r w:rsidR="00E90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</w:tbl>
    <w:p w14:paraId="1B97ADFD" w14:textId="77777777" w:rsidR="00513C4A" w:rsidRPr="00E9058E" w:rsidRDefault="00513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FA70FE" w14:textId="12079036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E9058E">
        <w:rPr>
          <w:lang w:val="ru-RU"/>
        </w:rPr>
        <w:br/>
      </w:r>
      <w:bookmarkStart w:id="0" w:name="_Hlk162441958"/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д/с «Радуга» </w:t>
      </w:r>
      <w:proofErr w:type="spellStart"/>
      <w:r w:rsid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пгт</w:t>
      </w:r>
      <w:proofErr w:type="spellEnd"/>
      <w:r w:rsid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Клетня</w:t>
      </w:r>
      <w:proofErr w:type="spellEnd"/>
    </w:p>
    <w:bookmarkEnd w:id="0"/>
    <w:p w14:paraId="36CD8EF3" w14:textId="77777777" w:rsidR="00513C4A" w:rsidRPr="00E9058E" w:rsidRDefault="00513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F1CF7B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5B154F0" w14:textId="48880D99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</w:t>
      </w:r>
      <w:r w:rsidR="00E9058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</w:t>
      </w:r>
      <w:r w:rsidR="00E9058E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</w:t>
      </w:r>
      <w:r w:rsid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«Радуга» </w:t>
      </w:r>
      <w:proofErr w:type="spellStart"/>
      <w:r w:rsidR="00E9058E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9058E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14:paraId="7F1437F3" w14:textId="2291A588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E9058E"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Муниципального бюджетного </w:t>
      </w:r>
      <w:r w:rsid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«Радуга» </w:t>
      </w:r>
      <w:proofErr w:type="spellStart"/>
      <w:r w:rsidR="00E9058E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9058E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14:paraId="45B3716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14:paraId="1011FCF2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14:paraId="1D218DCF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– злоупотребление служебным положением, дача взятки, получение взятки, злоупотребление полномочиями, коммерческий подкуп либо иное незаконное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14:paraId="2B49F306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14:paraId="4EFD0931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14:paraId="5C5678BD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14:paraId="7C62BFA0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14:paraId="735E5C93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14:paraId="0612728F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14:paraId="0CC194DF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14:paraId="7978D5F9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14:paraId="2BB59CAE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14:paraId="7148965A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14:paraId="08BCDE0E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14:paraId="509F6D2B" w14:textId="77777777" w:rsidR="00513C4A" w:rsidRPr="00E9058E" w:rsidRDefault="00807E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14:paraId="0F2BD94D" w14:textId="77777777" w:rsidR="00513C4A" w:rsidRPr="00E9058E" w:rsidRDefault="00807E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203C07D0" w14:textId="77777777" w:rsidR="00513C4A" w:rsidRPr="00E9058E" w:rsidRDefault="00807E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3A0469D0" w14:textId="77777777" w:rsidR="00513C4A" w:rsidRPr="00E9058E" w:rsidRDefault="00807ED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14:paraId="565C33B1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14:paraId="2A37F30E" w14:textId="77777777" w:rsidR="00513C4A" w:rsidRPr="00E9058E" w:rsidRDefault="00807E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14:paraId="3F742D30" w14:textId="77777777" w:rsidR="00513C4A" w:rsidRPr="00E9058E" w:rsidRDefault="00807E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66F660C1" w14:textId="77777777" w:rsidR="00513C4A" w:rsidRDefault="00807E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EAAF8C" w14:textId="77777777" w:rsidR="00513C4A" w:rsidRPr="00E9058E" w:rsidRDefault="00807ED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14:paraId="0A5D42C3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14:paraId="36D6EF7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14:paraId="6EAD3351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14:paraId="0596A623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14:paraId="7F703BFE" w14:textId="36FE01A1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своем официальном сайте </w:t>
      </w:r>
      <w:r w:rsidR="00E9058E">
        <w:rPr>
          <w:rFonts w:hAnsi="Times New Roman" w:cs="Times New Roman"/>
          <w:color w:val="000000"/>
          <w:sz w:val="24"/>
          <w:szCs w:val="24"/>
          <w:lang w:val="ru-RU"/>
        </w:rPr>
        <w:t>баннер -</w:t>
      </w:r>
      <w:r w:rsidR="000742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058E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r w:rsidR="00074279">
        <w:rPr>
          <w:rFonts w:hAnsi="Times New Roman" w:cs="Times New Roman"/>
          <w:color w:val="000000"/>
          <w:sz w:val="24"/>
          <w:szCs w:val="24"/>
          <w:lang w:val="ru-RU"/>
        </w:rPr>
        <w:t>Баннер-р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аздел наполняется следующей информацией:</w:t>
      </w:r>
    </w:p>
    <w:p w14:paraId="2F894B74" w14:textId="77777777" w:rsidR="00E9058E" w:rsidRPr="00E9058E" w:rsidRDefault="00662B1F" w:rsidP="00E9058E">
      <w:pPr>
        <w:numPr>
          <w:ilvl w:val="0"/>
          <w:numId w:val="18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6" w:history="1">
        <w:r w:rsidR="00E9058E" w:rsidRPr="00E9058E">
          <w:rPr>
            <w:rFonts w:eastAsia="Times New Roman" w:cstheme="minorHAnsi"/>
            <w:sz w:val="24"/>
            <w:szCs w:val="24"/>
            <w:lang w:val="ru-RU" w:eastAsia="ru-RU"/>
          </w:rPr>
          <w:t>Нормативные, правовые и иные акты в сфере противодействия коррупции</w:t>
        </w:r>
      </w:hyperlink>
    </w:p>
    <w:p w14:paraId="41206028" w14:textId="77777777" w:rsidR="00E9058E" w:rsidRPr="00E9058E" w:rsidRDefault="00662B1F" w:rsidP="00E9058E">
      <w:pPr>
        <w:numPr>
          <w:ilvl w:val="0"/>
          <w:numId w:val="18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7" w:history="1">
        <w:r w:rsidR="00E9058E" w:rsidRPr="00E9058E">
          <w:rPr>
            <w:rFonts w:eastAsia="Times New Roman" w:cstheme="minorHAnsi"/>
            <w:sz w:val="24"/>
            <w:szCs w:val="24"/>
            <w:lang w:val="ru-RU" w:eastAsia="ru-RU"/>
          </w:rPr>
          <w:t>Антикоррупционная экспертиза</w:t>
        </w:r>
      </w:hyperlink>
    </w:p>
    <w:p w14:paraId="1215AF28" w14:textId="77777777" w:rsidR="00E9058E" w:rsidRPr="00E9058E" w:rsidRDefault="00662B1F" w:rsidP="00E9058E">
      <w:pPr>
        <w:numPr>
          <w:ilvl w:val="0"/>
          <w:numId w:val="18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8" w:history="1">
        <w:r w:rsidR="00E9058E" w:rsidRPr="00E9058E">
          <w:rPr>
            <w:rFonts w:eastAsia="Times New Roman" w:cstheme="minorHAnsi"/>
            <w:sz w:val="24"/>
            <w:szCs w:val="24"/>
            <w:lang w:val="ru-RU" w:eastAsia="ru-RU"/>
          </w:rPr>
          <w:t>Методические материалы</w:t>
        </w:r>
      </w:hyperlink>
    </w:p>
    <w:p w14:paraId="64ED5617" w14:textId="77777777" w:rsidR="00E9058E" w:rsidRPr="00E9058E" w:rsidRDefault="00662B1F" w:rsidP="00E9058E">
      <w:pPr>
        <w:numPr>
          <w:ilvl w:val="0"/>
          <w:numId w:val="18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9" w:history="1">
        <w:r w:rsidR="00E9058E" w:rsidRPr="00E9058E">
          <w:rPr>
            <w:rFonts w:eastAsia="Times New Roman" w:cstheme="minorHAnsi"/>
            <w:sz w:val="24"/>
            <w:szCs w:val="24"/>
            <w:lang w:val="ru-RU" w:eastAsia="ru-RU"/>
          </w:rPr>
          <w:t>Формы документов, связанных с противодействием коррупции, для заполнения</w:t>
        </w:r>
      </w:hyperlink>
    </w:p>
    <w:p w14:paraId="000C91EB" w14:textId="77777777" w:rsidR="00E9058E" w:rsidRPr="00E9058E" w:rsidRDefault="00662B1F" w:rsidP="00E9058E">
      <w:pPr>
        <w:numPr>
          <w:ilvl w:val="0"/>
          <w:numId w:val="18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10" w:history="1">
        <w:r w:rsidR="00E9058E" w:rsidRPr="00E9058E">
          <w:rPr>
            <w:rFonts w:eastAsia="Times New Roman" w:cstheme="minorHAnsi"/>
            <w:sz w:val="24"/>
            <w:szCs w:val="24"/>
            <w:lang w:val="ru-RU" w:eastAsia="ru-RU"/>
          </w:rPr>
          <w:t>Сведения о доходах, расходах, об имуществе и обязательствах имущественного характера</w:t>
        </w:r>
      </w:hyperlink>
    </w:p>
    <w:p w14:paraId="7D468483" w14:textId="77777777" w:rsidR="00E9058E" w:rsidRPr="00E9058E" w:rsidRDefault="00662B1F" w:rsidP="00E9058E">
      <w:pPr>
        <w:numPr>
          <w:ilvl w:val="0"/>
          <w:numId w:val="18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11" w:history="1">
        <w:r w:rsidR="00E9058E" w:rsidRPr="00E9058E">
          <w:rPr>
            <w:rFonts w:eastAsia="Times New Roman" w:cstheme="minorHAnsi"/>
            <w:sz w:val="24"/>
            <w:szCs w:val="24"/>
            <w:lang w:val="ru-RU" w:eastAsia="ru-RU"/>
          </w:rPr>
          <w:t>Комиссия по соблюдению требований к служебному поведению и урегулированию конфликта интересов (аттестационная комиссия)</w:t>
        </w:r>
      </w:hyperlink>
    </w:p>
    <w:p w14:paraId="155692E0" w14:textId="77777777" w:rsidR="00E9058E" w:rsidRPr="00E9058E" w:rsidRDefault="00662B1F" w:rsidP="00E9058E">
      <w:pPr>
        <w:numPr>
          <w:ilvl w:val="0"/>
          <w:numId w:val="18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12" w:history="1">
        <w:r w:rsidR="00E9058E" w:rsidRPr="00E9058E">
          <w:rPr>
            <w:rFonts w:eastAsia="Times New Roman" w:cstheme="minorHAnsi"/>
            <w:sz w:val="24"/>
            <w:szCs w:val="24"/>
            <w:lang w:val="ru-RU" w:eastAsia="ru-RU"/>
          </w:rPr>
          <w:t>Обратная связь для сообщений о фактах коррупции</w:t>
        </w:r>
      </w:hyperlink>
    </w:p>
    <w:p w14:paraId="354D5140" w14:textId="77777777" w:rsidR="00E9058E" w:rsidRPr="00E9058E" w:rsidRDefault="00662B1F" w:rsidP="00E9058E">
      <w:pPr>
        <w:numPr>
          <w:ilvl w:val="0"/>
          <w:numId w:val="18"/>
        </w:num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hyperlink r:id="rId13" w:history="1">
        <w:r w:rsidR="00E9058E" w:rsidRPr="00E9058E">
          <w:rPr>
            <w:rFonts w:eastAsia="Times New Roman" w:cstheme="minorHAnsi"/>
            <w:sz w:val="24"/>
            <w:szCs w:val="24"/>
            <w:lang w:val="ru-RU" w:eastAsia="ru-RU"/>
          </w:rPr>
          <w:t>Локальные акты учреждения</w:t>
        </w:r>
      </w:hyperlink>
    </w:p>
    <w:p w14:paraId="74CA24F7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14:paraId="09F91BC2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14:paraId="34AAA271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14:paraId="11268F09" w14:textId="77777777" w:rsidR="00513C4A" w:rsidRPr="00E9058E" w:rsidRDefault="00807E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14:paraId="0F4A18C6" w14:textId="77777777" w:rsidR="00513C4A" w:rsidRPr="00E9058E" w:rsidRDefault="00807ED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14:paraId="28A528DE" w14:textId="77777777" w:rsidR="00513C4A" w:rsidRPr="00E9058E" w:rsidRDefault="00807ED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14:paraId="631D8451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14:paraId="7E6A160D" w14:textId="77777777" w:rsidR="00513C4A" w:rsidRPr="00E9058E" w:rsidRDefault="00807E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14:paraId="46DCEFE0" w14:textId="77777777" w:rsidR="00513C4A" w:rsidRPr="00E9058E" w:rsidRDefault="00807E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14:paraId="24EB47A8" w14:textId="77777777" w:rsidR="00513C4A" w:rsidRPr="00E9058E" w:rsidRDefault="00807ED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14:paraId="7128C55B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14:paraId="44281F48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5244E44C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37F71AF7" w14:textId="77777777" w:rsidR="00513C4A" w:rsidRDefault="00807EDC">
      <w:pPr>
        <w:rPr>
          <w:rFonts w:hAnsi="Times New Roman" w:cs="Times New Roman"/>
          <w:color w:val="000000"/>
          <w:sz w:val="24"/>
          <w:szCs w:val="24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D24A07" w14:textId="77777777" w:rsidR="00513C4A" w:rsidRPr="00E9058E" w:rsidRDefault="00807E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276EAF48" w14:textId="77777777" w:rsidR="00513C4A" w:rsidRPr="00E9058E" w:rsidRDefault="00807E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5C473499" w14:textId="77777777" w:rsidR="00513C4A" w:rsidRPr="00E9058E" w:rsidRDefault="00807E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32B9AA73" w14:textId="77777777" w:rsidR="00513C4A" w:rsidRPr="00E9058E" w:rsidRDefault="00807ED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17CCC197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14:paraId="252B8018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14:paraId="10DDE214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14:paraId="2B36C613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14:paraId="6F599234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14:paraId="5A4AC3C9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14:paraId="0145C94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14:paraId="6D4707F9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14:paraId="5909C63B" w14:textId="77777777" w:rsidR="00513C4A" w:rsidRDefault="00807E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06A4AA" w14:textId="77777777" w:rsidR="00513C4A" w:rsidRDefault="00807E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E808CB" w14:textId="77777777" w:rsidR="00513C4A" w:rsidRDefault="00807E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A610F6" w14:textId="77777777" w:rsidR="00513C4A" w:rsidRDefault="00807ED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E59692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14:paraId="5FCE136A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14:paraId="7FCBA212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14:paraId="4215983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14:paraId="517CF2E8" w14:textId="77777777" w:rsidR="00513C4A" w:rsidRDefault="00807E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7F9D53" w14:textId="77777777" w:rsidR="00513C4A" w:rsidRPr="00E9058E" w:rsidRDefault="00807E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14:paraId="57C35A55" w14:textId="77777777" w:rsidR="00513C4A" w:rsidRPr="00E9058E" w:rsidRDefault="00807E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14:paraId="7C6D5F45" w14:textId="77777777" w:rsidR="00513C4A" w:rsidRPr="00E9058E" w:rsidRDefault="00807ED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14:paraId="0AECC598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14:paraId="3864FE82" w14:textId="77777777" w:rsidR="00513C4A" w:rsidRPr="00E9058E" w:rsidRDefault="00807ED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14:paraId="1584941A" w14:textId="77777777" w:rsidR="00513C4A" w:rsidRPr="00E9058E" w:rsidRDefault="00807ED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14:paraId="1A3258E1" w14:textId="77777777" w:rsidR="00513C4A" w:rsidRPr="00E9058E" w:rsidRDefault="00807ED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18886264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14:paraId="43336813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14:paraId="262C8143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14:paraId="1467B172" w14:textId="77777777" w:rsidR="00513C4A" w:rsidRDefault="00807ED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0F2E8A" w14:textId="77777777" w:rsidR="00513C4A" w:rsidRPr="00E9058E" w:rsidRDefault="00807ED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067952F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14:paraId="777026EA" w14:textId="77777777" w:rsidR="00513C4A" w:rsidRPr="00E9058E" w:rsidRDefault="00807ED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14:paraId="2491DBC4" w14:textId="77777777" w:rsidR="00513C4A" w:rsidRPr="00E9058E" w:rsidRDefault="00807ED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14:paraId="0AA8B251" w14:textId="77777777" w:rsidR="00513C4A" w:rsidRPr="00E9058E" w:rsidRDefault="00807ED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14:paraId="04CD852D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14:paraId="5B7AC838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14:paraId="105FE104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494813AB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14:paraId="6D277051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14:paraId="1D0CD488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14:paraId="104217B0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14:paraId="529369D8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14:paraId="7C505211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14:paraId="306944C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14:paraId="5180174D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14:paraId="3A0AC7BB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14:paraId="4A9D13D8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14:paraId="070F272E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14:paraId="6B5EBDCA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14:paraId="2CA3E36C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26587596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14:paraId="2AA3BCAE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14:paraId="668A3A19" w14:textId="77777777" w:rsidR="00513C4A" w:rsidRPr="00E9058E" w:rsidRDefault="00807ED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14:paraId="5FE3B795" w14:textId="77777777" w:rsidR="00513C4A" w:rsidRPr="00E9058E" w:rsidRDefault="00807ED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14:paraId="3E06BB8D" w14:textId="77777777" w:rsidR="00513C4A" w:rsidRPr="00E9058E" w:rsidRDefault="00807ED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14:paraId="2355E3B2" w14:textId="77777777" w:rsidR="00513C4A" w:rsidRPr="00E9058E" w:rsidRDefault="00807ED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14:paraId="310CE47A" w14:textId="77777777" w:rsidR="00513C4A" w:rsidRPr="00E9058E" w:rsidRDefault="00807ED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14:paraId="56A5FABB" w14:textId="77777777" w:rsidR="00513C4A" w:rsidRPr="00E9058E" w:rsidRDefault="00807ED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14:paraId="3890ACAE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14:paraId="43A30389" w14:textId="3C024BB2" w:rsidR="009C1075" w:rsidRPr="009C1075" w:rsidRDefault="00807EDC" w:rsidP="009C1075">
      <w:pPr>
        <w:rPr>
          <w:rFonts w:ascii="Times New Roman" w:eastAsia="Times New Roman" w:hAnsi="Times New Roman" w:cs="Times New Roman"/>
          <w:color w:val="000000"/>
          <w:sz w:val="24"/>
          <w:szCs w:val="18"/>
          <w:u w:val="single"/>
          <w:lang w:val="ru-RU" w:eastAsia="ru-RU" w:bidi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="009C1075" w:rsidRPr="009C1075"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  <w:t>В состав Комиссии входят 5 человек, включая председателя Комиссии, а также:</w:t>
      </w:r>
    </w:p>
    <w:p w14:paraId="5FCB7B01" w14:textId="77777777" w:rsidR="009C1075" w:rsidRPr="009C1075" w:rsidRDefault="009C1075" w:rsidP="009C1075">
      <w:pPr>
        <w:widowControl w:val="0"/>
        <w:numPr>
          <w:ilvl w:val="0"/>
          <w:numId w:val="19"/>
        </w:numPr>
        <w:tabs>
          <w:tab w:val="left" w:pos="404"/>
        </w:tabs>
        <w:spacing w:before="0" w:beforeAutospacing="0" w:after="0" w:afterAutospacing="0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</w:pPr>
      <w:r w:rsidRPr="009C1075"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  <w:t>представитель Педагогического совета;</w:t>
      </w:r>
    </w:p>
    <w:p w14:paraId="1C3AC635" w14:textId="77777777" w:rsidR="009C1075" w:rsidRPr="009C1075" w:rsidRDefault="009C1075" w:rsidP="009C1075">
      <w:pPr>
        <w:widowControl w:val="0"/>
        <w:numPr>
          <w:ilvl w:val="0"/>
          <w:numId w:val="19"/>
        </w:numPr>
        <w:tabs>
          <w:tab w:val="left" w:pos="404"/>
        </w:tabs>
        <w:spacing w:before="0" w:beforeAutospacing="0" w:after="0" w:afterAutospacing="0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</w:pPr>
      <w:r w:rsidRPr="009C1075"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  <w:t>представитель прочего персонала;</w:t>
      </w:r>
    </w:p>
    <w:p w14:paraId="15D2A7DD" w14:textId="77777777" w:rsidR="009C1075" w:rsidRPr="009C1075" w:rsidRDefault="009C1075" w:rsidP="009C1075">
      <w:pPr>
        <w:widowControl w:val="0"/>
        <w:numPr>
          <w:ilvl w:val="0"/>
          <w:numId w:val="19"/>
        </w:numPr>
        <w:tabs>
          <w:tab w:val="left" w:pos="404"/>
        </w:tabs>
        <w:spacing w:before="0" w:beforeAutospacing="0" w:after="0" w:afterAutospacing="0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</w:pPr>
      <w:r w:rsidRPr="009C1075"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  <w:t>представитель от Родительского комитета;</w:t>
      </w:r>
    </w:p>
    <w:p w14:paraId="4D7E7D23" w14:textId="77777777" w:rsidR="009C1075" w:rsidRPr="009C1075" w:rsidRDefault="009C1075" w:rsidP="009C1075">
      <w:pPr>
        <w:widowControl w:val="0"/>
        <w:numPr>
          <w:ilvl w:val="0"/>
          <w:numId w:val="19"/>
        </w:numPr>
        <w:tabs>
          <w:tab w:val="left" w:pos="404"/>
        </w:tabs>
        <w:spacing w:before="0" w:beforeAutospacing="0" w:after="0" w:afterAutospacing="0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</w:pPr>
      <w:r w:rsidRPr="009C1075">
        <w:rPr>
          <w:rFonts w:ascii="Times New Roman" w:eastAsia="Times New Roman" w:hAnsi="Times New Roman" w:cs="Times New Roman"/>
          <w:color w:val="000000"/>
          <w:sz w:val="24"/>
          <w:szCs w:val="18"/>
          <w:lang w:val="ru-RU" w:eastAsia="ru-RU" w:bidi="ru-RU"/>
        </w:rPr>
        <w:t>представитель профсоюзного комитета работников дошкольного образовательного учреждения.</w:t>
      </w:r>
    </w:p>
    <w:p w14:paraId="48B52EC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14:paraId="69D016AD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14:paraId="6F02E641" w14:textId="47AB8633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9C1075" w:rsidRPr="009C107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д/с «Радуга» </w:t>
      </w:r>
      <w:proofErr w:type="spellStart"/>
      <w:r w:rsidR="009C1075" w:rsidRPr="009C1075"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9C1075" w:rsidRPr="009C10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C1075" w:rsidRPr="009C1075">
        <w:rPr>
          <w:rFonts w:hAnsi="Times New Roman" w:cs="Times New Roman"/>
          <w:color w:val="000000"/>
          <w:sz w:val="24"/>
          <w:szCs w:val="24"/>
          <w:lang w:val="ru-RU"/>
        </w:rPr>
        <w:t>Клетня</w:t>
      </w:r>
      <w:proofErr w:type="spellEnd"/>
      <w:r w:rsidR="009C10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482BAB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14:paraId="34C03A3B" w14:textId="77777777" w:rsidR="00513C4A" w:rsidRPr="00E9058E" w:rsidRDefault="00807ED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14:paraId="4D86AD9E" w14:textId="77777777" w:rsidR="00513C4A" w:rsidRPr="00E9058E" w:rsidRDefault="00807ED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42BF6B7A" w14:textId="77777777" w:rsidR="00513C4A" w:rsidRPr="00E9058E" w:rsidRDefault="00807ED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14:paraId="448B026F" w14:textId="77777777" w:rsidR="00513C4A" w:rsidRPr="00E9058E" w:rsidRDefault="00807ED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23E9315F" w14:textId="77777777" w:rsidR="00513C4A" w:rsidRPr="00E9058E" w:rsidRDefault="00807ED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4417C33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14:paraId="5EA89CD9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14:paraId="05960D73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14:paraId="688E955E" w14:textId="1C421EC3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="009C1075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Заведующая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которым связана личная заинтересованность </w:t>
      </w:r>
      <w:r w:rsidR="009C1075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заведующей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 или указанного работника Организации.</w:t>
      </w:r>
    </w:p>
    <w:p w14:paraId="410537E0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14:paraId="003D6877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14:paraId="4EDD59C6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14:paraId="1CC9D1C8" w14:textId="01CDD99A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1075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группы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которо</w:t>
      </w:r>
      <w:r w:rsidR="009C107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</w:t>
      </w:r>
      <w:r w:rsidR="009C1075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14:paraId="0581A726" w14:textId="54B7EF10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имя </w:t>
      </w:r>
      <w:r w:rsidR="009C107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C1075">
        <w:rPr>
          <w:rFonts w:hAnsi="Times New Roman" w:cs="Times New Roman"/>
          <w:color w:val="000000"/>
          <w:sz w:val="24"/>
          <w:szCs w:val="24"/>
          <w:lang w:val="ru-RU"/>
        </w:rPr>
        <w:t>антикоррупции</w:t>
      </w:r>
      <w:proofErr w:type="spellEnd"/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наличии личной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14:paraId="59F606D7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14:paraId="4E713C1F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14:paraId="691C5F2E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14:paraId="007C5376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14:paraId="3C9A90FC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14:paraId="10B8F974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14:paraId="23469748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14:paraId="66266B36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14:paraId="6AEBF073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14:paraId="787452F3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14:paraId="219F3921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14:paraId="745F5C69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14:paraId="0969158B" w14:textId="77777777" w:rsidR="00513C4A" w:rsidRPr="00E9058E" w:rsidRDefault="00807E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14:paraId="1F6C3078" w14:textId="77777777" w:rsidR="00513C4A" w:rsidRPr="00E9058E" w:rsidRDefault="00807ED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14:paraId="148C1D33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14:paraId="5E48EA71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14:paraId="2E56E4BE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14:paraId="569211E2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8.2. Организация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14:paraId="3CC4E22B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14:paraId="68256801" w14:textId="77777777" w:rsidR="00513C4A" w:rsidRDefault="00807ED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14:paraId="7E13ED23" w14:textId="77777777" w:rsidR="00513C4A" w:rsidRPr="00E9058E" w:rsidRDefault="00807ED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14:paraId="5D7D64CE" w14:textId="77777777" w:rsidR="00513C4A" w:rsidRPr="00E9058E" w:rsidRDefault="00807ED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14:paraId="2E910DE0" w14:textId="77777777" w:rsidR="00513C4A" w:rsidRDefault="00807ED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14:paraId="0DCE1874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14:paraId="368CD7F5" w14:textId="77777777" w:rsidR="00513C4A" w:rsidRPr="00E9058E" w:rsidRDefault="00807ED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14:paraId="5445A639" w14:textId="77777777" w:rsidR="00513C4A" w:rsidRPr="00E9058E" w:rsidRDefault="00807ED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оперативно-разыскные мероприятия.</w:t>
      </w:r>
    </w:p>
    <w:p w14:paraId="0F06B8D8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Антикоррупционная программа</w:t>
      </w:r>
    </w:p>
    <w:p w14:paraId="0FEDEBAC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14:paraId="3576D79D" w14:textId="77777777" w:rsidR="00513C4A" w:rsidRDefault="00807E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B3A695E" w14:textId="77777777" w:rsidR="00513C4A" w:rsidRDefault="00807ED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E911FD" w14:textId="77777777" w:rsidR="00513C4A" w:rsidRPr="00E9058E" w:rsidRDefault="00807ED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14:paraId="5A6404C1" w14:textId="77777777" w:rsidR="00513C4A" w:rsidRPr="00E9058E" w:rsidRDefault="00807ED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14:paraId="4A17450B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14:paraId="79C0842B" w14:textId="77777777" w:rsidR="00513C4A" w:rsidRPr="00E9058E" w:rsidRDefault="0080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14:paraId="699B6945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14:paraId="0A225B74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предупреждению коррупции, представляет его 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14:paraId="631B2D62" w14:textId="77777777" w:rsidR="00513C4A" w:rsidRPr="00E9058E" w:rsidRDefault="0080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58E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513C4A" w:rsidRPr="00E905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F2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B0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C2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B7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16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64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E7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82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00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90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36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34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63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D3953"/>
    <w:multiLevelType w:val="multilevel"/>
    <w:tmpl w:val="AE08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46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F7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52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4"/>
  </w:num>
  <w:num w:numId="5">
    <w:abstractNumId w:val="17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16"/>
  </w:num>
  <w:num w:numId="11">
    <w:abstractNumId w:val="10"/>
  </w:num>
  <w:num w:numId="12">
    <w:abstractNumId w:val="0"/>
  </w:num>
  <w:num w:numId="13">
    <w:abstractNumId w:val="2"/>
  </w:num>
  <w:num w:numId="14">
    <w:abstractNumId w:val="18"/>
  </w:num>
  <w:num w:numId="15">
    <w:abstractNumId w:val="5"/>
  </w:num>
  <w:num w:numId="16">
    <w:abstractNumId w:val="9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4279"/>
    <w:rsid w:val="002D33B1"/>
    <w:rsid w:val="002D3591"/>
    <w:rsid w:val="003514A0"/>
    <w:rsid w:val="004F7E17"/>
    <w:rsid w:val="00513C4A"/>
    <w:rsid w:val="005A05CE"/>
    <w:rsid w:val="00653AF6"/>
    <w:rsid w:val="00662B1F"/>
    <w:rsid w:val="00807EDC"/>
    <w:rsid w:val="009C1075"/>
    <w:rsid w:val="00B73A5A"/>
    <w:rsid w:val="00BF1AC3"/>
    <w:rsid w:val="00E438A1"/>
    <w:rsid w:val="00E9058E"/>
    <w:rsid w:val="00E9724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5822"/>
  <w15:docId w15:val="{0CD9C7A9-002F-4C5D-97BE-CF5FCC3B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ugakletnya.ru/protivodejstvie-korrupcii-dokumenty/metodicheskie-materialy/" TargetMode="External"/><Relationship Id="rId13" Type="http://schemas.openxmlformats.org/officeDocument/2006/relationships/hyperlink" Target="https://radugakletnya.ru/protivodejstvie-korrupcii-dokumenty/lokalnye-akty-uchrezhden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dugakletnya.ru/protivodejstvie-korrupcii-dokumenty/antikorrupcionnaja-jekspertiza/" TargetMode="External"/><Relationship Id="rId12" Type="http://schemas.openxmlformats.org/officeDocument/2006/relationships/hyperlink" Target="https://radugakletnya.ru/protivodejstvie-korrupcii-dokumenty/obratnaja-svjaz-dlja-soobschenij-o-faktah-korrup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ugakletnya.ru/protivodejstvie-korrupcii-dokumenty/normativnye-pravovye-i-inye-akty-v-sfere-protivodejstvija-korrupcii/" TargetMode="External"/><Relationship Id="rId11" Type="http://schemas.openxmlformats.org/officeDocument/2006/relationships/hyperlink" Target="https://radugakletnya.ru/protivodejstvie-korrupcii-dokumenty/komissija-po-sobljudeniju-trebovanij-k-sluzhebnomu-povedeniju-i-uregulirovaniju-konflikta-interesov-attestacionnaja-komissij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adugakletnya.ru/protivodejstvie-korrupcii-dokumenty/svedenija-o-dohodah-rashodah-ob-imuschestve-i-objazatelstvah-imuschestvennogo-harakt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ugakletnya.ru/protivodejstvie-korrupcii-dokumenty/formy-dokumentov-svjazannyh-s-protivodejstviem-korrupcii-dlja-zapolnenij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2024-04-27T12:10:00Z</dcterms:modified>
</cp:coreProperties>
</file>